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W w:w="10434" w:type="dxa"/>
        <w:jc w:val="left"/>
        <w:tblInd w:w="-15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434"/>
      </w:tblGrid>
      <w:tr>
        <w:trPr>
          <w:trHeight w:val="912" w:hRule="atLeast"/>
        </w:trPr>
        <w:tc>
          <w:tcPr>
            <w:tcW w:w="10434" w:type="dxa"/>
            <w:tcBorders/>
            <w:shd w:fill="auto" w:val="clear"/>
          </w:tcPr>
          <w:p>
            <w:pPr>
              <w:pStyle w:val="ServiceInfoHeader"/>
              <w:widowControl w:val="false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drawing>
                <wp:anchor behindDoc="0" distT="0" distB="0" distL="114300" distR="114300" simplePos="0" locked="0" layoutInCell="0" allowOverlap="1" relativeHeight="2">
                  <wp:simplePos x="0" y="0"/>
                  <wp:positionH relativeFrom="column">
                    <wp:posOffset>-189865</wp:posOffset>
                  </wp:positionH>
                  <wp:positionV relativeFrom="paragraph">
                    <wp:posOffset>-3175</wp:posOffset>
                  </wp:positionV>
                  <wp:extent cx="1427480" cy="1219835"/>
                  <wp:effectExtent l="0" t="0" r="0" b="0"/>
                  <wp:wrapTight wrapText="bothSides">
                    <wp:wrapPolygon edited="0">
                      <wp:start x="1511" y="1781"/>
                      <wp:lineTo x="1511" y="19315"/>
                      <wp:lineTo x="8817" y="19315"/>
                      <wp:lineTo x="9192" y="17067"/>
                      <wp:lineTo x="19967" y="12122"/>
                      <wp:lineTo x="19583" y="9873"/>
                      <wp:lineTo x="9586" y="1781"/>
                      <wp:lineTo x="1511" y="1781"/>
                    </wp:wrapPolygon>
                  </wp:wrapTight>
                  <wp:docPr id="1" name="Image 21" descr="Mac:Users:xavier.hasendahl:Desktop:ELEMENTS TEMPLATES SIG:LOGOS:PREF_61 à 80:PREF_Bas_rhin:eps:PREF_Bas_rhin_CMJN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21" descr="Mac:Users:xavier.hasendahl:Desktop:ELEMENTS TEMPLATES SIG:LOGOS:PREF_61 à 80:PREF_Bas_rhin:eps:PREF_Bas_rhin_CMJN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80" cy="1219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114300" distR="114300" simplePos="0" locked="0" layoutInCell="0" allowOverlap="1" relativeHeight="3">
                  <wp:simplePos x="0" y="0"/>
                  <wp:positionH relativeFrom="column">
                    <wp:posOffset>-189865</wp:posOffset>
                  </wp:positionH>
                  <wp:positionV relativeFrom="paragraph">
                    <wp:posOffset>-3175</wp:posOffset>
                  </wp:positionV>
                  <wp:extent cx="1427480" cy="1219835"/>
                  <wp:effectExtent l="0" t="0" r="0" b="0"/>
                  <wp:wrapTight wrapText="bothSides">
                    <wp:wrapPolygon edited="0">
                      <wp:start x="1511" y="1781"/>
                      <wp:lineTo x="1511" y="19315"/>
                      <wp:lineTo x="8817" y="19315"/>
                      <wp:lineTo x="9192" y="17067"/>
                      <wp:lineTo x="19967" y="12122"/>
                      <wp:lineTo x="19583" y="9873"/>
                      <wp:lineTo x="9586" y="1781"/>
                      <wp:lineTo x="1511" y="1781"/>
                    </wp:wrapPolygon>
                  </wp:wrapTight>
                  <wp:docPr id="2" name="Image 21 Copie 1" descr="Mac:Users:xavier.hasendahl:Desktop:ELEMENTS TEMPLATES SIG:LOGOS:PREF_61 à 80:PREF_Bas_rhin:eps:PREF_Bas_rhin_CMJN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1 Copie 1" descr="Mac:Users:xavier.hasendahl:Desktop:ELEMENTS TEMPLATES SIG:LOGOS:PREF_61 à 80:PREF_Bas_rhin:eps:PREF_Bas_rhin_CMJN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80" cy="1219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  <w:drawing>
                <wp:anchor behindDoc="0" distT="0" distB="0" distL="114300" distR="114300" simplePos="0" locked="0" layoutInCell="0" allowOverlap="1" relativeHeight="4">
                  <wp:simplePos x="0" y="0"/>
                  <wp:positionH relativeFrom="column">
                    <wp:posOffset>-189865</wp:posOffset>
                  </wp:positionH>
                  <wp:positionV relativeFrom="paragraph">
                    <wp:posOffset>-3175</wp:posOffset>
                  </wp:positionV>
                  <wp:extent cx="1427480" cy="1219835"/>
                  <wp:effectExtent l="0" t="0" r="0" b="0"/>
                  <wp:wrapTight wrapText="bothSides">
                    <wp:wrapPolygon edited="0">
                      <wp:start x="1511" y="1781"/>
                      <wp:lineTo x="1511" y="19315"/>
                      <wp:lineTo x="8817" y="19315"/>
                      <wp:lineTo x="9192" y="17067"/>
                      <wp:lineTo x="19967" y="12122"/>
                      <wp:lineTo x="19583" y="9873"/>
                      <wp:lineTo x="9586" y="1781"/>
                      <wp:lineTo x="1511" y="1781"/>
                    </wp:wrapPolygon>
                  </wp:wrapTight>
                  <wp:docPr id="3" name="Image 21 Copie 2" descr="Mac:Users:xavier.hasendahl:Desktop:ELEMENTS TEMPLATES SIG:LOGOS:PREF_61 à 80:PREF_Bas_rhin:eps:PREF_Bas_rhin_CMJN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1 Copie 2" descr="Mac:Users:xavier.hasendahl:Desktop:ELEMENTS TEMPLATES SIG:LOGOS:PREF_61 à 80:PREF_Bas_rhin:eps:PREF_Bas_rhin_CMJN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480" cy="1219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sz w:val="24"/>
                <w:szCs w:val="24"/>
                <w:lang w:val="fr-FR" w:bidi="ar-SA"/>
              </w:rPr>
              <w:t>Secrétariat général commun départemental</w:t>
            </w:r>
          </w:p>
        </w:tc>
      </w:tr>
    </w:tbl>
    <w:p>
      <w:pPr>
        <w:pStyle w:val="Normal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851" w:right="851" w:header="720" w:top="777" w:footer="680" w:bottom="737" w:gutter="0"/>
          <w:pgNumType w:fmt="decimal"/>
          <w:formProt w:val="false"/>
          <w:textDirection w:val="lrTb"/>
          <w:docGrid w:type="default" w:linePitch="360" w:charSpace="8192"/>
        </w:sectPr>
      </w:pP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  <mc:AlternateContent>
          <mc:Choice Requires="wps">
            <w:drawing>
              <wp:anchor behindDoc="0" distT="72390" distB="72390" distL="72390" distR="72390" simplePos="0" locked="0" layoutInCell="0" allowOverlap="1" relativeHeight="5">
                <wp:simplePos x="0" y="0"/>
                <wp:positionH relativeFrom="column">
                  <wp:posOffset>424180</wp:posOffset>
                </wp:positionH>
                <wp:positionV relativeFrom="paragraph">
                  <wp:posOffset>139700</wp:posOffset>
                </wp:positionV>
                <wp:extent cx="4901565" cy="1280795"/>
                <wp:effectExtent l="0" t="0" r="0" b="0"/>
                <wp:wrapSquare wrapText="bothSides"/>
                <wp:docPr id="4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1040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Normal"/>
                              <w:widowControl w:val="false"/>
                              <w:suppressAutoHyphens w:val="false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eastAsia="fr-FR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eastAsia="fr-FR"/>
                              </w:rPr>
                              <w:t>MARCHE PUBLIC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false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lang w:eastAsia="fr-FR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eastAsia="fr-FR"/>
                              </w:rPr>
                              <w:br/>
                            </w:r>
                            <w:r>
                              <w:rPr>
                                <w:rFonts w:eastAsia="Times New Roman" w:cs="Arial" w:ascii="Arial" w:hAnsi="Arial"/>
                                <w:b/>
                                <w:bCs/>
                                <w:color w:val="000000"/>
                                <w:kern w:val="0"/>
                                <w:sz w:val="20"/>
                                <w:szCs w:val="20"/>
                                <w:lang w:val="fr-FR" w:eastAsia="fr-FR" w:bidi="ar-SA"/>
                              </w:rPr>
                              <w:t xml:space="preserve">Prestations de services ménagers </w:t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eastAsia="fr-FR"/>
                              </w:rPr>
                              <w:t xml:space="preserve">pour les résidences du corps préfectoral 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fals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fals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eastAsia="fr-FR"/>
                              </w:rPr>
                              <w:t xml:space="preserve">Département du Bas-Rhin 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false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lang w:eastAsia="fr-FR"/>
                              </w:rPr>
                              <w:br/>
                            </w: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u w:val="single"/>
                                <w:lang w:eastAsia="fr-FR"/>
                              </w:rPr>
                              <w:t xml:space="preserve">Annexe financière 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false"/>
                              <w:jc w:val="center"/>
                              <w:rPr>
                                <w:rFonts w:ascii="Arial" w:hAnsi="Arial" w:cs="Arial"/>
                                <w:b/>
                                <w:b/>
                                <w:bCs/>
                                <w:u w:val="single"/>
                                <w:lang w:eastAsia="fr-FR"/>
                              </w:rPr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color w:val="000000"/>
                                <w:u w:val="single"/>
                                <w:lang w:eastAsia="fr-FR"/>
                              </w:rPr>
                              <w:t>Bordereau des prix unitaires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000000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54000" rIns="54000" tIns="54000" bIns="540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" path="m0,0l-2147483645,0l-2147483645,-2147483646l0,-2147483646xe" fillcolor="white" stroked="t" style="position:absolute;margin-left:33.4pt;margin-top:11pt;width:385.85pt;height:100.75pt;mso-wrap-style:square;v-text-anchor:top">
                <v:fill o:detectmouseclick="t" type="solid" color2="black"/>
                <v:stroke color="black" weight="720" joinstyle="round" endcap="flat"/>
                <v:textbox>
                  <w:txbxContent>
                    <w:p>
                      <w:pPr>
                        <w:pStyle w:val="Normal"/>
                        <w:widowControl w:val="false"/>
                        <w:suppressAutoHyphens w:val="false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lang w:eastAsia="fr-FR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eastAsia="fr-FR"/>
                        </w:rPr>
                        <w:t>MARCHE PUBLIC</w:t>
                      </w:r>
                    </w:p>
                    <w:p>
                      <w:pPr>
                        <w:pStyle w:val="Normal"/>
                        <w:widowControl w:val="false"/>
                        <w:suppressAutoHyphens w:val="false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lang w:eastAsia="fr-FR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eastAsia="fr-FR"/>
                        </w:rPr>
                        <w:br/>
                      </w:r>
                      <w:r>
                        <w:rPr>
                          <w:rFonts w:eastAsia="Times New Roman" w:cs="Arial" w:ascii="Arial" w:hAnsi="Arial"/>
                          <w:b/>
                          <w:bCs/>
                          <w:color w:val="000000"/>
                          <w:kern w:val="0"/>
                          <w:sz w:val="20"/>
                          <w:szCs w:val="20"/>
                          <w:lang w:val="fr-FR" w:eastAsia="fr-FR" w:bidi="ar-SA"/>
                        </w:rPr>
                        <w:t xml:space="preserve">Prestations de services ménagers </w:t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eastAsia="fr-FR"/>
                        </w:rPr>
                        <w:t xml:space="preserve">pour les résidences du corps préfectoral </w:t>
                      </w:r>
                    </w:p>
                    <w:p>
                      <w:pPr>
                        <w:pStyle w:val="Normal"/>
                        <w:widowControl w:val="false"/>
                        <w:suppressAutoHyphens w:val="false"/>
                        <w:jc w:val="center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  <w:p>
                      <w:pPr>
                        <w:pStyle w:val="Normal"/>
                        <w:widowControl w:val="false"/>
                        <w:suppressAutoHyphens w:val="fals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eastAsia="fr-FR"/>
                        </w:rPr>
                        <w:t xml:space="preserve">Département du Bas-Rhin </w:t>
                      </w:r>
                    </w:p>
                    <w:p>
                      <w:pPr>
                        <w:pStyle w:val="Normal"/>
                        <w:widowControl w:val="false"/>
                        <w:suppressAutoHyphens w:val="false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lang w:eastAsia="fr-FR"/>
                        </w:rPr>
                        <w:br/>
                      </w: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u w:val="single"/>
                          <w:lang w:eastAsia="fr-FR"/>
                        </w:rPr>
                        <w:t xml:space="preserve">Annexe financière </w:t>
                      </w:r>
                    </w:p>
                    <w:p>
                      <w:pPr>
                        <w:pStyle w:val="Normal"/>
                        <w:widowControl w:val="false"/>
                        <w:suppressAutoHyphens w:val="false"/>
                        <w:jc w:val="center"/>
                        <w:rPr>
                          <w:rFonts w:ascii="Arial" w:hAnsi="Arial" w:cs="Arial"/>
                          <w:b/>
                          <w:b/>
                          <w:bCs/>
                          <w:u w:val="single"/>
                          <w:lang w:eastAsia="fr-FR"/>
                        </w:rPr>
                      </w:pPr>
                      <w:r>
                        <w:rPr>
                          <w:rFonts w:cs="Arial" w:ascii="Arial" w:hAnsi="Arial"/>
                          <w:b/>
                          <w:bCs/>
                          <w:color w:val="000000"/>
                          <w:u w:val="single"/>
                          <w:lang w:eastAsia="fr-FR"/>
                        </w:rPr>
                        <w:t>Bordereau des prix unitaires</w:t>
                      </w:r>
                    </w:p>
                    <w:p>
                      <w:pPr>
                        <w:pStyle w:val="Normal"/>
                        <w:rPr>
                          <w:color w:val="000000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widowControl w:val="false"/>
        <w:suppressAutoHyphens w:val="false"/>
        <w:jc w:val="center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b/>
          <w:bCs/>
        </w:rPr>
        <w:t xml:space="preserve">NOM DU CANDIDAT : </w:t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jc w:val="both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b/>
          <w:bCs/>
        </w:rPr>
        <w:t>Prix selon le volume horaire et le nombre de jours d'intervention :</w:t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numPr>
          <w:ilvl w:val="0"/>
          <w:numId w:val="1"/>
        </w:numPr>
        <w:ind w:left="720" w:right="0" w:hanging="360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b/>
          <w:bCs/>
        </w:rPr>
        <w:t>Pour les résidences situées dans l'Eurométropole de Strasbourg :</w:t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tbl>
      <w:tblPr>
        <w:tblW w:w="10102" w:type="dxa"/>
        <w:jc w:val="left"/>
        <w:tblInd w:w="-4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00"/>
        <w:gridCol w:w="1028"/>
        <w:gridCol w:w="948"/>
        <w:gridCol w:w="1211"/>
        <w:gridCol w:w="1200"/>
        <w:gridCol w:w="1210"/>
        <w:gridCol w:w="1200"/>
        <w:gridCol w:w="1203"/>
      </w:tblGrid>
      <w:tr>
        <w:trPr/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5 heures / semaine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10 heures/  semaine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15 heures / semaine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20 heures / semaine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25 heures/ semaine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30 heures / semaine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35 heures/ semaine</w:t>
            </w:r>
          </w:p>
        </w:tc>
      </w:tr>
      <w:tr>
        <w:trPr/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Prix mensuel H.T.</w:t>
            </w:r>
          </w:p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(2 à 3 interventions par semaine maximum)</w:t>
            </w:r>
          </w:p>
        </w:tc>
        <w:tc>
          <w:tcPr>
            <w:tcW w:w="10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9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color="auto" w:fill="808080"/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808080"/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</w:tr>
      <w:tr>
        <w:trPr/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Prix mensuel H.T.</w:t>
            </w:r>
          </w:p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(4 à 5 interventions par semaine maximum)</w:t>
            </w:r>
          </w:p>
        </w:tc>
        <w:tc>
          <w:tcPr>
            <w:tcW w:w="10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9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</w:tr>
    </w:tbl>
    <w:p>
      <w:pPr>
        <w:pStyle w:val="Normal"/>
        <w:widowControl w:val="false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numPr>
          <w:ilvl w:val="0"/>
          <w:numId w:val="1"/>
        </w:numPr>
        <w:ind w:left="720" w:right="0" w:hanging="360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b/>
          <w:bCs/>
        </w:rPr>
        <w:t>Pour les résidences situées hors de l'Eurométropole de Strasbourg :</w:t>
      </w:r>
    </w:p>
    <w:p>
      <w:pPr>
        <w:pStyle w:val="Normal"/>
        <w:ind w:left="720" w:right="0" w:hanging="0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tbl>
      <w:tblPr>
        <w:tblW w:w="10102" w:type="dxa"/>
        <w:jc w:val="left"/>
        <w:tblInd w:w="-4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00"/>
        <w:gridCol w:w="1028"/>
        <w:gridCol w:w="948"/>
        <w:gridCol w:w="1211"/>
        <w:gridCol w:w="1200"/>
        <w:gridCol w:w="1210"/>
        <w:gridCol w:w="1200"/>
        <w:gridCol w:w="1203"/>
      </w:tblGrid>
      <w:tr>
        <w:trPr/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5 heures / semaine</w:t>
            </w: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10 heures/  semaine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15 heures / semaine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20 heures / semaine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25 heures/ semaine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30 heures / semaine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center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35 heures/ semaine</w:t>
            </w:r>
          </w:p>
        </w:tc>
      </w:tr>
      <w:tr>
        <w:trPr/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Prix mensuel H.T.</w:t>
            </w:r>
          </w:p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(2 à 3 interventions par semaine maximum)</w:t>
            </w:r>
          </w:p>
        </w:tc>
        <w:tc>
          <w:tcPr>
            <w:tcW w:w="10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9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shd w:color="auto" w:fill="808080"/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808080"/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</w:tr>
      <w:tr>
        <w:trPr/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Prix mensuel H.T.</w:t>
            </w:r>
          </w:p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b/>
                <w:bCs/>
                <w:sz w:val="16"/>
                <w:szCs w:val="16"/>
              </w:rPr>
              <w:t>(4 à 5 interventions par semaine maximum)</w:t>
            </w:r>
          </w:p>
        </w:tc>
        <w:tc>
          <w:tcPr>
            <w:tcW w:w="102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9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1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tabs>
                <w:tab w:val="clear" w:pos="567"/>
              </w:tabs>
              <w:bidi w:val="0"/>
              <w:jc w:val="left"/>
              <w:rPr>
                <w:rFonts w:ascii="Marianne" w:hAnsi="Marianne"/>
                <w:sz w:val="24"/>
                <w:szCs w:val="24"/>
                <w:lang w:val="fr-FR" w:bidi="ar-SA"/>
              </w:rPr>
            </w:pPr>
            <w:r>
              <w:rPr>
                <w:rFonts w:ascii="Marianne" w:hAnsi="Marianne"/>
                <w:sz w:val="24"/>
                <w:szCs w:val="24"/>
                <w:lang w:val="fr-FR" w:bidi="ar-SA"/>
              </w:rPr>
            </w:r>
          </w:p>
        </w:tc>
      </w:tr>
    </w:tbl>
    <w:p>
      <w:pPr>
        <w:pStyle w:val="Normal"/>
        <w:widowControl w:val="false"/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tabs>
          <w:tab w:val="clear" w:pos="567"/>
          <w:tab w:val="left" w:pos="5764" w:leader="none"/>
        </w:tabs>
        <w:jc w:val="left"/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</w:r>
    </w:p>
    <w:p>
      <w:pPr>
        <w:pStyle w:val="Normal"/>
        <w:tabs>
          <w:tab w:val="clear" w:pos="567"/>
          <w:tab w:val="left" w:pos="6191" w:leader="none"/>
        </w:tabs>
        <w:rPr>
          <w:rFonts w:ascii="Marianne" w:hAnsi="Marianne"/>
          <w:sz w:val="24"/>
          <w:szCs w:val="24"/>
          <w:lang w:val="fr-FR" w:bidi="ar-SA"/>
        </w:rPr>
      </w:pPr>
      <w:r>
        <w:rPr>
          <w:rFonts w:ascii="Marianne" w:hAnsi="Marianne"/>
          <w:sz w:val="24"/>
          <w:szCs w:val="24"/>
          <w:lang w:val="fr-FR" w:bidi="ar-SA"/>
        </w:rPr>
        <w:tab/>
        <w:tab/>
      </w:r>
      <w:r>
        <w:rPr>
          <w:rFonts w:ascii="Marianne" w:hAnsi="Marianne"/>
          <w:sz w:val="20"/>
          <w:szCs w:val="20"/>
          <w:lang w:val="fr-FR" w:bidi="ar-SA"/>
        </w:rPr>
        <w:t xml:space="preserve"> Signature du candidat :</w:t>
      </w:r>
    </w:p>
    <w:p>
      <w:pPr>
        <w:pStyle w:val="Normal"/>
        <w:rPr>
          <w:rFonts w:ascii="Marianne" w:hAnsi="Marianne"/>
          <w:sz w:val="24"/>
          <w:szCs w:val="24"/>
          <w:lang w:val="fr-FR" w:bidi="ar-SA"/>
        </w:rPr>
      </w:pPr>
      <w:r>
        <w:rPr/>
      </w:r>
    </w:p>
    <w:sectPr>
      <w:type w:val="continuous"/>
      <w:pgSz w:w="11906" w:h="16838"/>
      <w:pgMar w:left="851" w:right="851" w:header="720" w:top="777" w:footer="680" w:bottom="737" w:gutter="0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Univers">
    <w:charset w:val="00"/>
    <w:family w:val="roman"/>
    <w:pitch w:val="variable"/>
  </w:font>
  <w:font w:name="Arial">
    <w:charset w:val="00"/>
    <w:family w:val="roman"/>
    <w:pitch w:val="variable"/>
  </w:font>
  <w:font w:name="Wingdings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Tahoma">
    <w:charset w:val="00"/>
    <w:family w:val="roman"/>
    <w:pitch w:val="variable"/>
  </w:font>
  <w:font w:name="Marianne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606" w:type="dxa"/>
      <w:jc w:val="lef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2906"/>
      <w:gridCol w:w="5526"/>
      <w:gridCol w:w="903"/>
      <w:gridCol w:w="565"/>
      <w:gridCol w:w="171"/>
      <w:gridCol w:w="534"/>
    </w:tblGrid>
    <w:tr>
      <w:trPr>
        <w:tblHeader w:val="true"/>
      </w:trPr>
      <w:tc>
        <w:tcPr>
          <w:tcW w:w="2906" w:type="dxa"/>
          <w:tcBorders/>
          <w:shd w:color="auto" w:fill="66CCFF" w:val="clear"/>
        </w:tcPr>
        <w:p>
          <w:pPr>
            <w:pStyle w:val="Normal"/>
            <w:widowControl w:val="false"/>
            <w:ind w:right="-638" w:hanging="0"/>
            <w:rPr>
              <w:rFonts w:ascii="Arial" w:hAnsi="Arial" w:cs="Arial"/>
              <w:b/>
              <w:b/>
              <w:i/>
              <w:i/>
            </w:rPr>
          </w:pPr>
          <w:r>
            <w:rPr>
              <w:rFonts w:cs="Arial" w:ascii="Arial" w:hAnsi="Arial"/>
              <w:b/>
              <w:i/>
            </w:rPr>
          </w:r>
        </w:p>
      </w:tc>
      <w:tc>
        <w:tcPr>
          <w:tcW w:w="5526" w:type="dxa"/>
          <w:tcBorders/>
          <w:shd w:color="auto" w:fill="66CCFF" w:val="clear"/>
        </w:tcPr>
        <w:p>
          <w:pPr>
            <w:pStyle w:val="Normal"/>
            <w:widowControl w:val="false"/>
            <w:jc w:val="center"/>
            <w:rPr>
              <w:rFonts w:ascii="Marianne" w:hAnsi="Marianne"/>
            </w:rPr>
          </w:pPr>
          <w:r>
            <w:rPr>
              <w:rFonts w:ascii="Marianne" w:hAnsi="Marianne"/>
            </w:rPr>
          </w:r>
        </w:p>
      </w:tc>
      <w:tc>
        <w:tcPr>
          <w:tcW w:w="903" w:type="dxa"/>
          <w:tcBorders/>
          <w:shd w:color="auto" w:fill="66CCFF" w:val="clear"/>
        </w:tcPr>
        <w:p>
          <w:pPr>
            <w:pStyle w:val="Normal"/>
            <w:widowControl w:val="false"/>
            <w:tabs>
              <w:tab w:val="clear" w:pos="567"/>
              <w:tab w:val="center" w:pos="1366" w:leader="none"/>
              <w:tab w:val="right" w:pos="2733" w:leader="none"/>
            </w:tabs>
            <w:rPr/>
          </w:pPr>
          <w:r>
            <w:rPr>
              <w:rFonts w:cs="Arial" w:ascii="Arial" w:hAnsi="Arial"/>
              <w:b/>
            </w:rPr>
            <w:t>Page :</w:t>
          </w:r>
        </w:p>
      </w:tc>
      <w:tc>
        <w:tcPr>
          <w:tcW w:w="565" w:type="dxa"/>
          <w:tcBorders/>
          <w:shd w:color="auto" w:fill="66CCFF" w:val="clea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</w:p>
      </w:tc>
      <w:tc>
        <w:tcPr>
          <w:tcW w:w="171" w:type="dxa"/>
          <w:tcBorders/>
          <w:shd w:color="auto" w:fill="66CCFF" w:val="clear"/>
        </w:tcPr>
        <w:p>
          <w:pPr>
            <w:pStyle w:val="Normal"/>
            <w:widowControl w:val="false"/>
            <w:jc w:val="center"/>
            <w:rPr/>
          </w:pPr>
          <w:r>
            <w:rPr>
              <w:rFonts w:cs="Arial" w:ascii="Arial" w:hAnsi="Arial"/>
              <w:b/>
            </w:rPr>
            <w:t>/</w:t>
          </w:r>
        </w:p>
      </w:tc>
      <w:tc>
        <w:tcPr>
          <w:tcW w:w="534" w:type="dxa"/>
          <w:tcBorders/>
          <w:shd w:color="auto" w:fill="66CCFF" w:val="clea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> NUMPAGES </w:instrText>
          </w:r>
          <w:r>
            <w:rPr/>
            <w:fldChar w:fldCharType="separate"/>
          </w:r>
          <w:r>
            <w:rPr/>
            <w:t>1</w:t>
          </w:r>
          <w:r>
            <w:rPr/>
            <w:fldChar w:fldCharType="end"/>
          </w:r>
        </w:p>
      </w:tc>
    </w:tr>
  </w:tbl>
  <w:p>
    <w:pPr>
      <w:pStyle w:val="Normal"/>
      <w:jc w:val="center"/>
      <w:rPr/>
    </w:pPr>
    <w:r>
      <w:rPr/>
      <w:t>ANNEXE 1  à l'acte  d'engagement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isplayBackgroundShape/>
  <w:embedSystemFonts/>
  <w:defaultTabStop w:val="567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e6078"/>
    <w:pPr>
      <w:widowControl/>
      <w:suppressAutoHyphens w:val="true"/>
      <w:bidi w:val="0"/>
      <w:spacing w:before="0" w:after="0"/>
      <w:jc w:val="left"/>
    </w:pPr>
    <w:rPr>
      <w:rFonts w:ascii="Univers" w:hAnsi="Univers" w:eastAsia="Times New Roman" w:cs="Univers"/>
      <w:color w:val="00000A"/>
      <w:kern w:val="0"/>
      <w:sz w:val="20"/>
      <w:szCs w:val="20"/>
      <w:lang w:val="fr-FR" w:eastAsia="zh-CN" w:bidi="ar-SA"/>
    </w:rPr>
  </w:style>
  <w:style w:type="paragraph" w:styleId="Titre1">
    <w:name w:val="Heading 1"/>
    <w:basedOn w:val="Normal"/>
    <w:next w:val="Normal"/>
    <w:qFormat/>
    <w:pPr>
      <w:keepNext w:val="true"/>
      <w:ind w:left="567" w:hanging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 w:val="true"/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 w:val="true"/>
      <w:tabs>
        <w:tab w:val="clear" w:pos="567"/>
        <w:tab w:val="center" w:pos="5103" w:leader="none"/>
        <w:tab w:val="right" w:pos="10065" w:leader="none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 w:val="true"/>
      <w:tabs>
        <w:tab w:val="clear" w:pos="567"/>
        <w:tab w:val="left" w:pos="-142" w:leader="none"/>
        <w:tab w:val="left" w:pos="4111" w:leader="none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 w:val="true"/>
      <w:ind w:left="567" w:hanging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 w:val="true"/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 w:val="true"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 w:val="true"/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 w:val="true"/>
      <w:tabs>
        <w:tab w:val="clear" w:pos="567"/>
        <w:tab w:val="left" w:pos="426" w:leader="none"/>
        <w:tab w:val="left" w:pos="5103" w:leader="none"/>
      </w:tabs>
      <w:spacing w:before="0" w:after="240"/>
      <w:jc w:val="both"/>
      <w:outlineLvl w:val="8"/>
    </w:pPr>
    <w:rPr>
      <w:rFonts w:ascii="Arial" w:hAnsi="Arial" w:cs="Arial"/>
      <w:i/>
      <w:iCs/>
      <w:sz w:val="1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z0" w:customStyle="1">
    <w:name w:val="WW8Num2z0"/>
    <w:qFormat/>
    <w:rPr>
      <w:rFonts w:ascii="Wingdings" w:hAnsi="Wingdings" w:cs="Wingdings"/>
    </w:rPr>
  </w:style>
  <w:style w:type="character" w:styleId="Policepardfaut2" w:customStyle="1">
    <w:name w:val="Police par défaut2"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WWAbsatzStandardschriftart1" w:customStyle="1">
    <w:name w:val="WW-Absatz-Standardschriftart1"/>
    <w:qFormat/>
    <w:rPr/>
  </w:style>
  <w:style w:type="character" w:styleId="WWAbsatzStandardschriftart11" w:customStyle="1">
    <w:name w:val="WW-Absatz-Standardschriftart11"/>
    <w:qFormat/>
    <w:rPr/>
  </w:style>
  <w:style w:type="character" w:styleId="WWAbsatzStandardschriftart111" w:customStyle="1">
    <w:name w:val="WW-Absatz-Standardschriftart111"/>
    <w:qFormat/>
    <w:rPr/>
  </w:style>
  <w:style w:type="character" w:styleId="WWAbsatzStandardschriftart1111" w:customStyle="1">
    <w:name w:val="WW-Absatz-Standardschriftart1111"/>
    <w:qFormat/>
    <w:rPr/>
  </w:style>
  <w:style w:type="character" w:styleId="WW8Num1z0" w:customStyle="1">
    <w:name w:val="WW8Num1z0"/>
    <w:qFormat/>
    <w:rPr>
      <w:rFonts w:cs="Times New Roman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3z0" w:customStyle="1">
    <w:name w:val="WW8Num3z0"/>
    <w:qFormat/>
    <w:rPr>
      <w:rFonts w:ascii="Wingdings" w:hAnsi="Wingdings" w:cs="Wingdings"/>
      <w:sz w:val="16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Wingdings" w:hAnsi="Wingdings" w:cs="Wingdings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WW8Num5z0" w:customStyle="1">
    <w:name w:val="WW8Num5z0"/>
    <w:qFormat/>
    <w:rPr>
      <w:rFonts w:ascii="Symbol" w:hAnsi="Symbol" w:cs="Symbol"/>
    </w:rPr>
  </w:style>
  <w:style w:type="character" w:styleId="WW8Num6z0" w:customStyle="1">
    <w:name w:val="WW8Num6z0"/>
    <w:qFormat/>
    <w:rPr>
      <w:rFonts w:cs="Times New Roman"/>
    </w:rPr>
  </w:style>
  <w:style w:type="character" w:styleId="WW8Num7z0" w:customStyle="1">
    <w:name w:val="WW8Num7z0"/>
    <w:qFormat/>
    <w:rPr>
      <w:rFonts w:ascii="Wingdings" w:hAnsi="Wingdings" w:cs="Wingdings"/>
      <w:i w:val="false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Arial" w:hAnsi="Arial" w:cs="Arial"/>
    </w:rPr>
  </w:style>
  <w:style w:type="character" w:styleId="WW8Num9z0" w:customStyle="1">
    <w:name w:val="WW8Num9z0"/>
    <w:qFormat/>
    <w:rPr>
      <w:rFonts w:ascii="Times New Roman" w:hAnsi="Times New Roman" w:eastAsia="Times New Roman" w:cs="Times New Roman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Arial" w:hAnsi="Arial" w:eastAsia="Times New Roman" w:cs="Arial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Wingdings" w:hAnsi="Wingdings" w:cs="Wingdings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Policepardfaut1" w:customStyle="1">
    <w:name w:val="Police par défaut1"/>
    <w:qFormat/>
    <w:rPr/>
  </w:style>
  <w:style w:type="character" w:styleId="Caractresdenotedebasdepage" w:customStyle="1">
    <w:name w:val="Caractères de note de bas de page"/>
    <w:qFormat/>
    <w:rPr>
      <w:rFonts w:cs="Times New Roman"/>
      <w:vertAlign w:val="superscript"/>
    </w:rPr>
  </w:style>
  <w:style w:type="character" w:styleId="Numrodepage">
    <w:name w:val="Numéro de page"/>
    <w:qFormat/>
    <w:rPr>
      <w:rFonts w:cs="Times New Roman"/>
    </w:rPr>
  </w:style>
  <w:style w:type="character" w:styleId="Marquedecommentaire1" w:customStyle="1">
    <w:name w:val="Marque de commentaire1"/>
    <w:qFormat/>
    <w:rPr>
      <w:rFonts w:cs="Times New Roman"/>
      <w:sz w:val="16"/>
    </w:rPr>
  </w:style>
  <w:style w:type="character" w:styleId="LienInternet">
    <w:name w:val="Lien Internet"/>
    <w:rPr>
      <w:rFonts w:cs="Times New Roman"/>
      <w:color w:val="0000FF"/>
      <w:u w:val="single"/>
    </w:rPr>
  </w:style>
  <w:style w:type="character" w:styleId="Strong">
    <w:name w:val="Strong"/>
    <w:qFormat/>
    <w:rPr>
      <w:rFonts w:cs="Times New Roman"/>
      <w:b/>
      <w:bCs/>
    </w:rPr>
  </w:style>
  <w:style w:type="character" w:styleId="Appelnotedebasdep1" w:customStyle="1">
    <w:name w:val="Appel note de bas de p.1"/>
    <w:qFormat/>
    <w:rPr>
      <w:vertAlign w:val="superscript"/>
    </w:rPr>
  </w:style>
  <w:style w:type="character" w:styleId="Caractresdenotedefin" w:customStyle="1">
    <w:name w:val="Caractères de note de fin"/>
    <w:qFormat/>
    <w:rPr>
      <w:vertAlign w:val="superscript"/>
    </w:rPr>
  </w:style>
  <w:style w:type="character" w:styleId="WWCaractresdenotedefin" w:customStyle="1">
    <w:name w:val="WW-Caractères de note de fin"/>
    <w:qFormat/>
    <w:rPr/>
  </w:style>
  <w:style w:type="character" w:styleId="Ancredenotedefin">
    <w:name w:val="Ancre de note de fin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Annotationreference">
    <w:name w:val="annotation reference"/>
    <w:uiPriority w:val="99"/>
    <w:semiHidden/>
    <w:unhideWhenUsed/>
    <w:qFormat/>
    <w:rsid w:val="00cd185d"/>
    <w:rPr>
      <w:sz w:val="16"/>
      <w:szCs w:val="16"/>
    </w:rPr>
  </w:style>
  <w:style w:type="character" w:styleId="CommentaireCar" w:customStyle="1">
    <w:name w:val="Commentaire Car"/>
    <w:uiPriority w:val="99"/>
    <w:semiHidden/>
    <w:qFormat/>
    <w:rsid w:val="00cd185d"/>
    <w:rPr>
      <w:rFonts w:ascii="Univers" w:hAnsi="Univers" w:cs="Univers"/>
      <w:lang w:eastAsia="zh-CN"/>
    </w:rPr>
  </w:style>
  <w:style w:type="character" w:styleId="EntteCar" w:customStyle="1">
    <w:name w:val="En-tête Car"/>
    <w:qFormat/>
    <w:rsid w:val="00fe48c9"/>
    <w:rPr>
      <w:rFonts w:ascii="Univers" w:hAnsi="Univers" w:cs="Univers"/>
      <w:lang w:eastAsia="zh-CN"/>
    </w:rPr>
  </w:style>
  <w:style w:type="character" w:styleId="PieddepageCar" w:customStyle="1">
    <w:name w:val="Pied de page Car"/>
    <w:qFormat/>
    <w:rsid w:val="00fe48c9"/>
    <w:rPr>
      <w:rFonts w:ascii="Univers" w:hAnsi="Univers" w:cs="Univers"/>
      <w:lang w:eastAsia="zh-CN"/>
    </w:rPr>
  </w:style>
  <w:style w:type="character" w:styleId="LienInternetvisit">
    <w:name w:val="Lien Internet visité"/>
    <w:rPr>
      <w:color w:val="800000"/>
      <w:u w:val="single"/>
      <w:lang w:val="zxx" w:eastAsia="zxx" w:bidi="zxx"/>
    </w:rPr>
  </w:style>
  <w:style w:type="character" w:styleId="Caractresdenumrotation">
    <w:name w:val="Caractères de numérotatio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tabs>
        <w:tab w:val="clear" w:pos="567"/>
        <w:tab w:val="left" w:pos="426" w:leader="none"/>
      </w:tabs>
      <w:spacing w:before="60" w:after="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pPr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clear" w:pos="567"/>
        <w:tab w:val="left" w:pos="426" w:leader="none"/>
        <w:tab w:val="left" w:pos="851" w:leader="none"/>
      </w:tabs>
      <w:jc w:val="both"/>
    </w:pPr>
    <w:rPr>
      <w:rFonts w:ascii="Arial" w:hAnsi="Arial" w:cs="Arial"/>
      <w:b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Titre21" w:customStyle="1">
    <w:name w:val="Titre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itre11" w:customStyle="1">
    <w:name w:val="Titre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pPr>
      <w:tabs>
        <w:tab w:val="clear" w:pos="567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PieddepageCar"/>
    <w:pPr>
      <w:tabs>
        <w:tab w:val="clear" w:pos="567"/>
        <w:tab w:val="center" w:pos="4536" w:leader="none"/>
        <w:tab w:val="right" w:pos="9072" w:leader="none"/>
      </w:tabs>
    </w:pPr>
    <w:rPr/>
  </w:style>
  <w:style w:type="paragraph" w:styleId="Notedebasdepage">
    <w:name w:val="Footnote Text"/>
    <w:basedOn w:val="Normal"/>
    <w:qFormat/>
    <w:pPr/>
    <w:rPr/>
  </w:style>
  <w:style w:type="paragraph" w:styleId="Ftiret" w:customStyle="1">
    <w:name w:val="f_tiret"/>
    <w:basedOn w:val="Normal"/>
    <w:qFormat/>
    <w:pPr>
      <w:tabs>
        <w:tab w:val="clear" w:pos="567"/>
        <w:tab w:val="left" w:pos="426" w:leader="none"/>
      </w:tabs>
      <w:spacing w:before="60" w:after="0"/>
      <w:ind w:left="142" w:hanging="142"/>
      <w:jc w:val="both"/>
    </w:pPr>
    <w:rPr/>
  </w:style>
  <w:style w:type="paragraph" w:styleId="Fcasegauche" w:customStyle="1">
    <w:name w:val="f_case_gauche"/>
    <w:basedOn w:val="Normal"/>
    <w:qFormat/>
    <w:pPr>
      <w:spacing w:before="0" w:after="60"/>
      <w:ind w:left="284" w:hanging="284"/>
      <w:jc w:val="both"/>
    </w:pPr>
    <w:rPr/>
  </w:style>
  <w:style w:type="paragraph" w:styleId="Fcase1ertab" w:customStyle="1">
    <w:name w:val="f_case_1ertab"/>
    <w:basedOn w:val="Normal"/>
    <w:qFormat/>
    <w:pPr>
      <w:tabs>
        <w:tab w:val="clear" w:pos="567"/>
        <w:tab w:val="left" w:pos="426" w:leader="none"/>
      </w:tabs>
      <w:ind w:left="709" w:hanging="709"/>
      <w:jc w:val="both"/>
    </w:pPr>
    <w:rPr/>
  </w:style>
  <w:style w:type="paragraph" w:styleId="Fcase2metab" w:customStyle="1">
    <w:name w:val="f_case_2èmetab"/>
    <w:basedOn w:val="Normal"/>
    <w:qFormat/>
    <w:pPr>
      <w:tabs>
        <w:tab w:val="clear" w:pos="567"/>
        <w:tab w:val="left" w:pos="426" w:leader="none"/>
        <w:tab w:val="left" w:pos="851" w:leader="none"/>
      </w:tabs>
      <w:ind w:left="1134" w:hanging="1134"/>
      <w:jc w:val="both"/>
    </w:pPr>
    <w:rPr/>
  </w:style>
  <w:style w:type="paragraph" w:styleId="Commentaire1" w:customStyle="1">
    <w:name w:val="Commentaire1"/>
    <w:basedOn w:val="Normal"/>
    <w:qFormat/>
    <w:pPr/>
    <w:rPr/>
  </w:style>
  <w:style w:type="paragraph" w:styleId="Corpsdetexte21" w:customStyle="1">
    <w:name w:val="Corps de texte 21"/>
    <w:basedOn w:val="Normal"/>
    <w:qFormat/>
    <w:pPr>
      <w:tabs>
        <w:tab w:val="clear" w:pos="567"/>
        <w:tab w:val="left" w:pos="6237" w:leader="none"/>
      </w:tabs>
      <w:spacing w:before="120" w:after="0"/>
    </w:pPr>
    <w:rPr>
      <w:rFonts w:ascii="Arial" w:hAnsi="Arial" w:cs="Arial"/>
      <w:i/>
      <w:sz w:val="24"/>
    </w:rPr>
  </w:style>
  <w:style w:type="paragraph" w:styleId="Corpsdetexte31" w:customStyle="1">
    <w:name w:val="Corps de texte 31"/>
    <w:basedOn w:val="Normal"/>
    <w:qFormat/>
    <w:pPr/>
    <w:rPr>
      <w:rFonts w:ascii="Arial" w:hAnsi="Arial" w:cs="Arial"/>
      <w:bCs/>
      <w:i/>
      <w:iCs/>
      <w:sz w:val="16"/>
    </w:rPr>
  </w:style>
  <w:style w:type="paragraph" w:styleId="BodyTextIndented">
    <w:name w:val="Body Text, Indented"/>
    <w:basedOn w:val="Normal"/>
    <w:qFormat/>
    <w:pPr>
      <w:ind w:left="567" w:hanging="0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qFormat/>
    <w:pPr>
      <w:spacing w:before="100" w:after="100"/>
    </w:pPr>
    <w:rPr>
      <w:rFonts w:ascii="Arial Unicode MS" w:hAnsi="Arial Unicode MS" w:eastAsia="Arial Unicode MS" w:cs="Arial Unicode MS"/>
      <w:color w:val="000000"/>
      <w:sz w:val="24"/>
      <w:szCs w:val="24"/>
    </w:rPr>
  </w:style>
  <w:style w:type="paragraph" w:styleId="Retraitcorpsdetexte21" w:customStyle="1">
    <w:name w:val="Retrait corps de texte 21"/>
    <w:basedOn w:val="Normal"/>
    <w:qFormat/>
    <w:pPr>
      <w:ind w:left="2268" w:hanging="0"/>
    </w:pPr>
    <w:rPr>
      <w:rFonts w:ascii="Arial" w:hAnsi="Arial" w:cs="Arial"/>
      <w:i/>
      <w:iCs/>
      <w:sz w:val="16"/>
      <w:szCs w:val="16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Commentaire1"/>
    <w:next w:val="Commentaire1"/>
    <w:qFormat/>
    <w:pPr/>
    <w:rPr>
      <w:b/>
      <w:bCs/>
    </w:rPr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rsid w:val="00cd185d"/>
    <w:pPr/>
    <w:rPr/>
  </w:style>
  <w:style w:type="paragraph" w:styleId="Default" w:customStyle="1">
    <w:name w:val="Default"/>
    <w:qFormat/>
    <w:rsid w:val="005824ae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fr-FR" w:bidi="ar-SA"/>
    </w:rPr>
  </w:style>
  <w:style w:type="paragraph" w:styleId="ServiceInfoHeader">
    <w:name w:val="Service Info Header"/>
    <w:basedOn w:val="Entte"/>
    <w:qFormat/>
    <w:pPr>
      <w:tabs>
        <w:tab w:val="clear" w:pos="4536"/>
        <w:tab w:val="clear" w:pos="9072"/>
      </w:tabs>
      <w:jc w:val="right"/>
    </w:pPr>
    <w:rPr>
      <w:b/>
      <w:bCs/>
      <w:sz w:val="24"/>
      <w:szCs w:val="24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99"/>
    <w:rsid w:val="005824a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96509-4358-496E-985C-E6E05504F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0</TotalTime>
  <Application>LibreOffice/7.1.3.2$Windows_X86_64 LibreOffice_project/47f78053abe362b9384784d31a6e56f8511eb1c1</Application>
  <AppVersion>15.0000</AppVersion>
  <Pages>1</Pages>
  <Words>166</Words>
  <Characters>839</Characters>
  <CharactersWithSpaces>978</CharactersWithSpaces>
  <Paragraphs>38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2025-11-04T14:42:42Z</dcterms:created>
  <dc:creator/>
  <dc:description/>
  <dc:language>fr-FR</dc:language>
  <cp:lastModifiedBy/>
  <cp:revision>1</cp:revision>
  <dc:subject/>
  <dc:title>_Modèle recommandé : le service peut l’adapter le cas échéant_DC1_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